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right="-426"/>
        <w:rPr>
          <w:b/>
        </w:rPr>
      </w:pPr>
      <w:r>
        <w:rPr>
          <w:b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-474980</wp:posOffset>
            </wp:positionH>
            <wp:positionV relativeFrom="page">
              <wp:posOffset>171450</wp:posOffset>
            </wp:positionV>
            <wp:extent cx="1123950" cy="546100"/>
            <wp:effectExtent l="0" t="0" r="0" b="0"/>
            <wp:wrapSquare wrapText="bothSides"/>
            <wp:docPr id="1" name="Image 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Spacing"/>
        <w:ind w:right="-426"/>
        <w:jc w:val="center"/>
        <w:rPr>
          <w:b/>
        </w:rPr>
      </w:pPr>
      <w:r>
        <w:rPr>
          <w:b/>
        </w:rPr>
        <w:t>FICHE D’ANALYSE - QUESTION 9</w:t>
      </w:r>
    </w:p>
    <w:p>
      <w:pPr>
        <w:pStyle w:val="NoSpacing"/>
        <w:ind w:right="-426"/>
        <w:rPr>
          <w:b/>
        </w:rPr>
      </w:pPr>
      <w:r>
        <w:rPr>
          <w:b/>
        </w:rPr>
      </w:r>
    </w:p>
    <w:p>
      <w:pPr>
        <w:pStyle w:val="NoSpacing"/>
        <w:ind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tbl>
      <w:tblPr>
        <w:tblW w:w="10632" w:type="dxa"/>
        <w:jc w:val="left"/>
        <w:tblInd w:w="-4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888"/>
        <w:gridCol w:w="2245"/>
        <w:gridCol w:w="2265"/>
        <w:gridCol w:w="3233"/>
      </w:tblGrid>
      <w:tr>
        <w:trPr>
          <w:trHeight w:val="272" w:hRule="atLeast"/>
        </w:trPr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color w:val="1F497D"/>
              </w:rPr>
            </w:pPr>
            <w:r>
              <w:rPr>
                <w:b/>
              </w:rPr>
              <w:t>DOMAINE</w:t>
            </w:r>
            <w:r>
              <w:rPr/>
              <w:t xml:space="preserve"> : </w:t>
            </w:r>
            <w:r>
              <w:rPr>
                <w:color w:val="1F497D"/>
              </w:rPr>
              <w:t>Espace et géométrie</w:t>
            </w:r>
          </w:p>
        </w:tc>
        <w:tc>
          <w:tcPr>
            <w:tcW w:w="5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color w:val="1F497D"/>
              </w:rPr>
            </w:pPr>
            <w:r>
              <w:rPr>
                <w:b/>
              </w:rPr>
              <w:t>COMPÉTENCE</w:t>
            </w:r>
            <w:r>
              <w:rPr/>
              <w:t xml:space="preserve"> : </w:t>
            </w:r>
            <w:r>
              <w:rPr>
                <w:color w:val="1F497D"/>
              </w:rPr>
              <w:t xml:space="preserve">Réaliser/Communiquer </w:t>
            </w:r>
          </w:p>
        </w:tc>
      </w:tr>
      <w:tr>
        <w:trPr>
          <w:trHeight w:val="272" w:hRule="atLeast"/>
        </w:trPr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color w:val="1F497D"/>
              </w:rPr>
            </w:pPr>
            <w:r>
              <w:rPr>
                <w:b/>
              </w:rPr>
              <w:t>SOUS DOMAINE</w:t>
            </w:r>
            <w:r>
              <w:rPr/>
              <w:t xml:space="preserve"> : </w:t>
            </w:r>
            <w:r>
              <w:rPr>
                <w:color w:val="1F497D"/>
              </w:rPr>
              <w:t>Exprimer les résultats dans les unités adaptées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</w:rPr>
              <w:t>QUESTION </w:t>
            </w:r>
            <w:r>
              <w:rPr/>
              <w:t>n°9</w:t>
            </w:r>
          </w:p>
        </w:tc>
      </w:tr>
      <w:tr>
        <w:trPr>
          <w:trHeight w:val="272" w:hRule="atLeast"/>
        </w:trPr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TYPE</w:t>
            </w:r>
            <w:r>
              <w:rPr>
                <w:rStyle w:val="FootnoteReference"/>
              </w:rPr>
              <w:footnoteReference w:id="2"/>
            </w:r>
            <w:r>
              <w:rPr/>
              <w:t xml:space="preserve"> : </w:t>
            </w:r>
            <w:r>
              <w:rPr>
                <w:color w:val="1F497D"/>
              </w:rPr>
              <w:t>Intermédiaire</w:t>
            </w:r>
          </w:p>
        </w:tc>
        <w:tc>
          <w:tcPr>
            <w:tcW w:w="5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color w:val="1F497D"/>
              </w:rPr>
            </w:pPr>
            <w:r>
              <w:rPr>
                <w:b/>
              </w:rPr>
              <w:t>CONTEXTE</w:t>
            </w:r>
            <w:r>
              <w:rPr>
                <w:rStyle w:val="FootnoteReference"/>
              </w:rPr>
              <w:footnoteReference w:id="3"/>
            </w:r>
            <w:r>
              <w:rPr/>
              <w:t xml:space="preserve"> : </w:t>
            </w:r>
            <w:r>
              <w:rPr>
                <w:color w:val="1F497D"/>
              </w:rPr>
              <w:t>Familier</w:t>
            </w:r>
          </w:p>
        </w:tc>
      </w:tr>
      <w:tr>
        <w:trPr>
          <w:trHeight w:val="1093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Kévin a une réserve d’eau de 500 L. Il vient d’installer une piscine de 35 m³.  </w:t>
            </w:r>
          </w:p>
          <w:p>
            <w:pPr>
              <w:pStyle w:val="Standard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Combien de litres d’eau faudra-t-il pour la remplir ? </w:t>
            </w:r>
          </w:p>
          <w:p>
            <w:pPr>
              <w:pStyle w:val="Standard"/>
              <w:rPr>
                <w:rFonts w:ascii="Arial" w:hAnsi="Arial" w:cs="Arial"/>
                <w:sz w:val="6"/>
              </w:rPr>
            </w:pPr>
            <w:r>
              <w:rPr>
                <w:rFonts w:cs="Arial" w:ascii="Arial" w:hAnsi="Arial"/>
                <w:sz w:val="6"/>
              </w:rPr>
            </w:r>
          </w:p>
          <w:p>
            <w:pPr>
              <w:pStyle w:val="Standard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Compléter le tableau de conversion suivant.</w:t>
            </w:r>
          </w:p>
          <w:tbl>
            <w:tblPr>
              <w:tblW w:w="9586" w:type="dxa"/>
              <w:jc w:val="left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  <w:tblLook w:val="04a0"/>
            </w:tblPr>
            <w:tblGrid>
              <w:gridCol w:w="1593"/>
              <w:gridCol w:w="531"/>
              <w:gridCol w:w="531"/>
              <w:gridCol w:w="533"/>
              <w:gridCol w:w="531"/>
              <w:gridCol w:w="531"/>
              <w:gridCol w:w="534"/>
              <w:gridCol w:w="532"/>
              <w:gridCol w:w="532"/>
              <w:gridCol w:w="534"/>
              <w:gridCol w:w="532"/>
              <w:gridCol w:w="532"/>
              <w:gridCol w:w="534"/>
              <w:gridCol w:w="532"/>
              <w:gridCol w:w="532"/>
              <w:gridCol w:w="532"/>
              <w:gridCol w:w="10"/>
            </w:tblGrid>
            <w:tr>
              <w:trPr>
                <w:trHeight w:val="283" w:hRule="atLeast"/>
              </w:trPr>
              <w:tc>
                <w:tcPr>
                  <w:tcW w:w="1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159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dam³</w:t>
                  </w:r>
                </w:p>
              </w:tc>
              <w:tc>
                <w:tcPr>
                  <w:tcW w:w="159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m³</w:t>
                  </w:r>
                </w:p>
              </w:tc>
              <w:tc>
                <w:tcPr>
                  <w:tcW w:w="15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dm³</w:t>
                  </w:r>
                </w:p>
              </w:tc>
              <w:tc>
                <w:tcPr>
                  <w:tcW w:w="15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cm³</w:t>
                  </w:r>
                </w:p>
              </w:tc>
              <w:tc>
                <w:tcPr>
                  <w:tcW w:w="160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mm³</w:t>
                  </w:r>
                </w:p>
              </w:tc>
            </w:tr>
            <w:tr>
              <w:trPr>
                <w:trHeight w:val="301" w:hRule="atLeast"/>
              </w:trPr>
              <w:tc>
                <w:tcPr>
                  <w:tcW w:w="1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1 L = 1 dm³</w:t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1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10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1" w:hRule="atLeast"/>
              </w:trPr>
              <w:tc>
                <w:tcPr>
                  <w:tcW w:w="1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Réserve d’eau</w:t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5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0</w:t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>0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10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92" w:hRule="atLeast"/>
              </w:trPr>
              <w:tc>
                <w:tcPr>
                  <w:tcW w:w="1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  <w:t xml:space="preserve">Piscine </w:t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>
                  <w:pPr>
                    <w:pStyle w:val="Contenudetableau"/>
                    <w:rPr>
                      <w:rFonts w:ascii="Arial" w:hAnsi="Arial" w:cs="Arial"/>
                    </w:rPr>
                  </w:pPr>
                  <w:r>
                    <w:rPr>
                      <w:rFonts w:cs="Arial" w:ascii="Arial" w:hAnsi="Arial"/>
                    </w:rPr>
                  </w:r>
                </w:p>
              </w:tc>
              <w:tc>
                <w:tcPr>
                  <w:tcW w:w="10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Standard"/>
              <w:rPr>
                <w:rFonts w:ascii="Arial" w:hAnsi="Arial" w:cs="Arial"/>
                <w:sz w:val="12"/>
              </w:rPr>
            </w:pPr>
            <w:r>
              <w:rPr>
                <w:rFonts w:cs="Arial" w:ascii="Arial" w:hAnsi="Arial"/>
                <w:sz w:val="12"/>
              </w:rPr>
            </w:r>
          </w:p>
          <w:p>
            <w:pPr>
              <w:pStyle w:val="Standard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Répondre par une phrase : …………………………………………………………………………….</w:t>
            </w:r>
          </w:p>
          <w:p>
            <w:pPr>
              <w:pStyle w:val="Normal"/>
              <w:spacing w:lineRule="auto" w:line="240" w:before="0" w:after="0"/>
              <w:rPr>
                <w:sz w:val="6"/>
              </w:rPr>
            </w:pPr>
            <w:r>
              <w:rPr>
                <w:sz w:val="6"/>
              </w:rPr>
            </w:r>
          </w:p>
        </w:tc>
      </w:tr>
      <w:tr>
        <w:trPr>
          <w:trHeight w:val="262" w:hRule="atLeast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Réponse attendue</w:t>
            </w:r>
          </w:p>
        </w:tc>
        <w:tc>
          <w:tcPr>
            <w:tcW w:w="7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vertAlign w:val="superscript"/>
              </w:rPr>
            </w:pPr>
            <w:r>
              <w:rPr>
                <w:color w:themeColor="text2" w:val="1F497D"/>
              </w:rPr>
              <w:t xml:space="preserve">35 000/ </w:t>
            </w:r>
            <w:r>
              <w:rPr>
                <w:color w:themeColor="accent5" w:themeShade="80" w:val="215868"/>
              </w:rPr>
              <w:t xml:space="preserve">Il faudra </w:t>
            </w:r>
            <w:r>
              <w:rPr>
                <w:rStyle w:val="Strong"/>
                <w:color w:themeColor="accent5" w:themeShade="80" w:val="215868"/>
              </w:rPr>
              <w:t>35 000 litres</w:t>
            </w:r>
            <w:r>
              <w:rPr>
                <w:color w:themeColor="accent5" w:themeShade="80" w:val="215868"/>
              </w:rPr>
              <w:t xml:space="preserve"> d’eau pour remplir la piscine.</w:t>
            </w:r>
          </w:p>
        </w:tc>
      </w:tr>
      <w:tr>
        <w:trPr>
          <w:trHeight w:val="272" w:hRule="atLeast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Descriptif de la tâche</w:t>
            </w:r>
          </w:p>
        </w:tc>
        <w:tc>
          <w:tcPr>
            <w:tcW w:w="7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color w:val="1F497D"/>
              </w:rPr>
            </w:pPr>
            <w:r>
              <w:rPr>
                <w:color w:val="1F497D"/>
              </w:rPr>
              <w:t>Effectuer des conversions.</w:t>
            </w:r>
          </w:p>
        </w:tc>
      </w:tr>
      <w:tr>
        <w:trPr>
          <w:trHeight w:val="272" w:hRule="atLeast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Positionnement</w:t>
            </w:r>
            <w:r>
              <w:rPr>
                <w:rStyle w:val="FootnoteReference"/>
                <w:b/>
              </w:rPr>
              <w:footnoteReference w:id="4"/>
            </w:r>
          </w:p>
        </w:tc>
        <w:tc>
          <w:tcPr>
            <w:tcW w:w="7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color w:val="1F497D"/>
              </w:rPr>
            </w:pPr>
            <w:r>
              <w:rPr>
                <w:color w:val="1F497D"/>
              </w:rPr>
              <w:t>fragile</w:t>
            </w:r>
          </w:p>
        </w:tc>
      </w:tr>
      <w:tr>
        <w:trPr>
          <w:trHeight w:val="272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COMMENTAIRES PÉDAGOGIQUES</w:t>
            </w:r>
          </w:p>
        </w:tc>
      </w:tr>
      <w:tr>
        <w:trPr>
          <w:trHeight w:val="1351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Analyse des difficultés et des distracteurs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Difficulté à effectuer des conversions : Confusion entre les unités m³ et L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Mauvais remplissage du tableau de conversion : Erreur dans le sens de la conversion.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 xml:space="preserve"> </w:t>
            </w:r>
            <w:r>
              <w:rPr>
                <w:color w:themeColor="accent5" w:themeShade="80" w:val="215868"/>
              </w:rPr>
              <w:t>Comparer directement 500 à 35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Oubli de multiplier par 1 000 pour passer de m³ à L</w:t>
            </w:r>
          </w:p>
        </w:tc>
      </w:tr>
      <w:tr>
        <w:trPr>
          <w:trHeight w:val="272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highlight w:val="lightGray"/>
              </w:rPr>
              <w:t>NIVEAU DE MAÎTRISE</w:t>
            </w:r>
          </w:p>
        </w:tc>
      </w:tr>
      <w:tr>
        <w:trPr>
          <w:trHeight w:val="817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color w:themeColor="text2" w:val="1F497D"/>
              </w:rPr>
            </w:pPr>
            <w:r>
              <w:rPr>
                <w:b/>
              </w:rPr>
              <w:t xml:space="preserve">« à besoins » : </w:t>
            </w:r>
            <w:r>
              <w:rPr>
                <w:color w:themeColor="text2" w:val="1F497D"/>
              </w:rPr>
              <w:t>l’élève ne donne pas de réponse</w:t>
            </w:r>
          </w:p>
          <w:p>
            <w:pPr>
              <w:pStyle w:val="Normal"/>
              <w:spacing w:lineRule="auto" w:line="240" w:before="0" w:after="0"/>
              <w:rPr>
                <w:color w:themeColor="text2" w:val="1F497D"/>
              </w:rPr>
            </w:pPr>
            <w:r>
              <w:rPr>
                <w:b/>
              </w:rPr>
              <w:t xml:space="preserve">« fragile » : </w:t>
            </w:r>
            <w:r>
              <w:rPr>
                <w:color w:themeColor="text2" w:val="1F497D"/>
              </w:rPr>
              <w:t>l’élève donne la conversion en mL</w:t>
            </w:r>
          </w:p>
          <w:p>
            <w:pPr>
              <w:pStyle w:val="Normal"/>
              <w:spacing w:lineRule="auto" w:line="240" w:before="0" w:after="0"/>
              <w:rPr>
                <w:color w:themeColor="text2" w:val="1F497D"/>
              </w:rPr>
            </w:pPr>
            <w:r>
              <w:rPr>
                <w:b/>
              </w:rPr>
              <w:t xml:space="preserve">« satisfaisant » : </w:t>
            </w:r>
            <w:r>
              <w:rPr>
                <w:color w:themeColor="text2" w:val="1F497D"/>
              </w:rPr>
              <w:t>l’élève donne la réponse attendue</w:t>
            </w:r>
          </w:p>
        </w:tc>
      </w:tr>
      <w:tr>
        <w:trPr>
          <w:trHeight w:val="272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Pistes de différenciation pédagogique</w:t>
            </w:r>
          </w:p>
        </w:tc>
      </w:tr>
      <w:tr>
        <w:trPr>
          <w:trHeight w:val="1351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u w:val="single"/>
              </w:rPr>
              <w:t>Simplification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Faire des conversions simples.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Donner la question sous forme de QCM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Compléter un tableau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val="1F497D"/>
              </w:rPr>
            </w:pPr>
            <w:r>
              <w:rPr>
                <w:color w:themeColor="accent5" w:themeShade="80" w:val="215868"/>
              </w:rPr>
              <w:t xml:space="preserve">Revoir la </w:t>
            </w:r>
            <w:r>
              <w:rPr>
                <w:rStyle w:val="Strong"/>
                <w:color w:themeColor="accent5" w:themeShade="80" w:val="215868"/>
              </w:rPr>
              <w:t>correspondance entre m³, L, et mL</w:t>
            </w:r>
            <w:r>
              <w:rPr>
                <w:color w:themeColor="accent5" w:themeShade="80" w:val="215868"/>
              </w:rPr>
              <w:t>.</w:t>
            </w:r>
          </w:p>
        </w:tc>
      </w:tr>
      <w:tr>
        <w:trPr>
          <w:trHeight w:val="1623" w:hRule="atLeast"/>
        </w:trPr>
        <w:tc>
          <w:tcPr>
            <w:tcW w:w="10631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u w:val="single"/>
              </w:rPr>
              <w:t>Complexification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 xml:space="preserve">Travailler </w:t>
            </w:r>
            <w:r>
              <w:rPr>
                <w:rStyle w:val="Strong"/>
                <w:color w:themeColor="accent5" w:themeShade="80" w:val="215868"/>
              </w:rPr>
              <w:t>dans l’autre sens</w:t>
            </w:r>
            <w:r>
              <w:rPr>
                <w:color w:themeColor="accent5" w:themeShade="80" w:val="215868"/>
              </w:rPr>
              <w:t> : Convertir en L puis en m</w:t>
            </w:r>
            <w:r>
              <w:rPr>
                <w:color w:themeColor="accent5" w:themeShade="80" w:val="215868"/>
                <w:vertAlign w:val="superscript"/>
              </w:rPr>
              <w:t>3</w:t>
            </w:r>
            <w:r>
              <w:rPr>
                <w:color w:themeColor="accent5" w:themeShade="80" w:val="215868"/>
              </w:rPr>
              <w:t>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Ajouter un problème : Combien de petit glaçon d’un volume de 150 cm3 peut-on préparer avec 1,5L d’eau ?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Comparaison de volume : 2L et 150 cL ?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 xml:space="preserve">Ajouter une notion de </w:t>
            </w:r>
            <w:r>
              <w:rPr>
                <w:rStyle w:val="Strong"/>
                <w:color w:themeColor="accent5" w:themeShade="80" w:val="215868"/>
              </w:rPr>
              <w:t>coût</w:t>
            </w:r>
            <w:r>
              <w:rPr>
                <w:color w:themeColor="accent5" w:themeShade="80" w:val="215868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/>
            </w:pPr>
            <w:r>
              <w:rPr>
                <w:color w:themeColor="accent5" w:themeShade="80" w:val="215868"/>
              </w:rPr>
              <w:t>Calculer un volume restant</w:t>
            </w:r>
          </w:p>
        </w:tc>
      </w:tr>
      <w:tr>
        <w:trPr>
          <w:trHeight w:val="2167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b/>
              </w:rPr>
              <w:t>Remédiations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bCs/>
                <w:color w:themeColor="accent5" w:themeShade="80" w:val="215868"/>
              </w:rPr>
            </w:pPr>
            <w:r>
              <w:rPr>
                <w:bCs/>
                <w:color w:themeColor="accent5" w:themeShade="80" w:val="215868"/>
              </w:rPr>
              <w:t>Conversion de bases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bCs/>
                <w:color w:themeColor="accent5" w:themeShade="80" w:val="215868"/>
              </w:rPr>
            </w:pPr>
            <w:r>
              <w:rPr>
                <w:bCs/>
                <w:color w:themeColor="accent5" w:themeShade="80" w:val="215868"/>
              </w:rPr>
              <w:t>Créer des situations concrète.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rStyle w:val="Strong"/>
                <w:b w:val="false"/>
                <w:bCs w:val="false"/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 xml:space="preserve">Manipuler des </w:t>
            </w:r>
            <w:r>
              <w:rPr>
                <w:rStyle w:val="Strong"/>
                <w:color w:themeColor="accent5" w:themeShade="80" w:val="215868"/>
              </w:rPr>
              <w:t>contenants réels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 xml:space="preserve">Utiliser des </w:t>
            </w:r>
            <w:r>
              <w:rPr>
                <w:rStyle w:val="Strong"/>
                <w:color w:themeColor="accent5" w:themeShade="80" w:val="215868"/>
              </w:rPr>
              <w:t>schémas ou pictogrammes</w:t>
            </w:r>
            <w:r>
              <w:rPr>
                <w:color w:themeColor="accent5" w:themeShade="80" w:val="215868"/>
              </w:rPr>
              <w:t xml:space="preserve"> pour visualiser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Avoir un tableau de conversion</w:t>
            </w:r>
            <w:r>
              <w:rPr>
                <w:rStyle w:val="TextedebullesCar"/>
                <w:color w:themeColor="accent5" w:themeShade="80" w:val="215868"/>
              </w:rPr>
              <w:t xml:space="preserve"> </w:t>
            </w:r>
            <w:r>
              <w:rPr>
                <w:rStyle w:val="Strong"/>
                <w:color w:themeColor="accent5" w:themeShade="80" w:val="215868"/>
              </w:rPr>
              <w:t>avec codes couleurs</w:t>
            </w:r>
            <w:r>
              <w:rPr>
                <w:color w:themeColor="accent5" w:themeShade="80" w:val="215868"/>
              </w:rPr>
              <w:t xml:space="preserve"> et flèches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Manipuler une seringue graduée en mL et des cube de 1 cm3, pipette, bécher etc..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val="1F497D"/>
              </w:rPr>
            </w:pPr>
            <w:r>
              <w:rPr>
                <w:color w:themeColor="accent5" w:themeShade="80" w:val="215868"/>
              </w:rPr>
              <w:t>Verbaliser les étapes avec eux en petit groupe</w:t>
            </w:r>
          </w:p>
        </w:tc>
      </w:tr>
      <w:tr>
        <w:trPr>
          <w:trHeight w:val="272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Prolongements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Densité de liquide : Un liquide a une densité de 1,2 g/cm³. Quelle est la masse de 150 cL de ce liquide ?</w:t>
            </w:r>
          </w:p>
        </w:tc>
      </w:tr>
      <w:tr>
        <w:trPr>
          <w:trHeight w:val="545" w:hRule="atLeast"/>
        </w:trPr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b/>
              </w:rPr>
              <w:t>Éléments du programme de 2</w:t>
            </w:r>
            <w:r>
              <w:rPr>
                <w:b/>
                <w:vertAlign w:val="superscript"/>
              </w:rPr>
              <w:t>nde</w:t>
            </w:r>
            <w:r>
              <w:rPr>
                <w:b/>
              </w:rPr>
              <w:t xml:space="preserve"> BAC PRO permettant de remobiliser cette notion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rPr>
                <w:color w:themeColor="accent5" w:themeShade="80" w:val="215868"/>
              </w:rPr>
            </w:pPr>
            <w:r>
              <w:rPr>
                <w:color w:themeColor="accent5" w:themeShade="80" w:val="215868"/>
              </w:rPr>
              <w:t>Géométrie :  Solides usuels (volumes).</w:t>
            </w:r>
          </w:p>
        </w:tc>
      </w:tr>
    </w:tbl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FootnoteText"/>
        <w:rPr/>
      </w:pPr>
      <w:r>
        <w:rPr/>
        <w:t xml:space="preserve"> </w:t>
      </w:r>
      <w:r>
        <w:rPr/>
        <w:t>TYPE DE QUESTION : question flash ou question intermédiaire</w:t>
      </w:r>
    </w:p>
    <w:p>
      <w:pPr>
        <w:pStyle w:val="FootnoteText"/>
        <w:rPr/>
      </w:pPr>
      <w:r>
        <w:rPr/>
        <w:t xml:space="preserve"> </w:t>
      </w:r>
      <w:r>
        <w:rPr/>
        <w:t xml:space="preserve">CONTEXTE DE SITUATION : familier, scientifique ou intra mathématique                                            </w:t>
      </w:r>
    </w:p>
    <w:p>
      <w:pPr>
        <w:pStyle w:val="Normal"/>
        <w:rPr/>
      </w:pPr>
      <w:r>
        <w:rPr/>
        <w:t xml:space="preserve"> </w:t>
      </w:r>
      <w:r>
        <w:rPr/>
        <w:t>POSITIONNEMENT : « à besoins », « fragile », « satisfaisant »</w:t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sectPr>
      <w:footnotePr>
        <w:numFmt w:val="decimal"/>
      </w:footnotePr>
      <w:type w:val="nextPage"/>
      <w:pgSz w:w="11906" w:h="16838"/>
      <w:pgMar w:left="1418" w:right="1418" w:gutter="0" w:header="0" w:top="284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swiss"/>
    <w:pitch w:val="variable"/>
  </w:font>
  <w:font w:name="Calibri">
    <w:charset w:val="01"/>
    <w:family w:val="swiss"/>
    <w:pitch w:val="variable"/>
  </w:font>
  <w:font w:name="Carlito">
    <w:altName w:val="Calibri"/>
    <w:charset w:val="01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 Math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uppressLineNumbers/>
        <w:rPr/>
      </w:pPr>
      <w:r>
        <w:rPr>
          <w:rStyle w:val="Caractresdenotedebasdepage"/>
        </w:rPr>
        <w:footnoteRef/>
      </w:r>
      <w:r>
        <w:rPr/>
      </w:r>
    </w:p>
  </w:footnote>
  <w:footnote w:id="3">
    <w:p>
      <w:pPr>
        <w:pStyle w:val="FootnoteText"/>
        <w:rPr/>
      </w:pPr>
      <w:r>
        <w:rPr>
          <w:rStyle w:val="Caractresdenotedebasdepage"/>
        </w:rPr>
        <w:footnoteRef/>
      </w:r>
      <w:r>
        <w:rPr/>
        <w:t xml:space="preserve">                          </w:t>
      </w:r>
    </w:p>
  </w:footnote>
  <w:footnote w:id="4">
    <w:p>
      <w:pPr>
        <w:pStyle w:val="FootnoteText"/>
        <w:rPr/>
      </w:pPr>
      <w:r>
        <w:rPr>
          <w:rStyle w:val="Caractresdenotedebasdepage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2e89"/>
    <w:pPr>
      <w:widowControl/>
      <w:suppressAutoHyphens w:val="true"/>
      <w:bidi w:val="0"/>
      <w:spacing w:lineRule="auto" w:line="276" w:before="0" w:after="200"/>
      <w:jc w:val="left"/>
    </w:pPr>
    <w:rPr>
      <w:rFonts w:cs="font295" w:ascii="Calibri" w:hAnsi="Calibri" w:eastAsia="Calibri" w:asciiTheme="minorHAns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4e2e89"/>
    <w:rPr>
      <w:rFonts w:ascii="Tahoma" w:hAnsi="Tahoma" w:cs="Tahoma"/>
      <w:sz w:val="16"/>
      <w:szCs w:val="16"/>
    </w:rPr>
  </w:style>
  <w:style w:type="character" w:styleId="Caractresdenotedebasdepage" w:customStyle="1">
    <w:name w:val="Caractères de note de bas de page"/>
    <w:qFormat/>
    <w:rsid w:val="003644fb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otedebasdepageCar" w:customStyle="1">
    <w:name w:val="Note de bas de page Car"/>
    <w:basedOn w:val="DefaultParagraphFont"/>
    <w:qFormat/>
    <w:rsid w:val="004e2e89"/>
    <w:rPr>
      <w:rFonts w:ascii="Calibri" w:hAnsi="Calibri" w:eastAsia="Calibri" w:cs="font295"/>
      <w:sz w:val="20"/>
      <w:szCs w:val="20"/>
    </w:rPr>
  </w:style>
  <w:style w:type="character" w:styleId="NotedefinCar" w:customStyle="1">
    <w:name w:val="Note de fin Car"/>
    <w:basedOn w:val="DefaultParagraphFont"/>
    <w:uiPriority w:val="99"/>
    <w:semiHidden/>
    <w:qFormat/>
    <w:rsid w:val="0061574c"/>
    <w:rPr>
      <w:rFonts w:ascii="Calibri" w:hAnsi="Calibri" w:eastAsia="Calibri" w:cs="font295"/>
      <w:sz w:val="20"/>
      <w:szCs w:val="20"/>
    </w:rPr>
  </w:style>
  <w:style w:type="character" w:styleId="Caractresdenotedefin" w:customStyle="1">
    <w:name w:val="Caractères de note de fin"/>
    <w:qFormat/>
    <w:rsid w:val="003644f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rong">
    <w:name w:val="Strong"/>
    <w:basedOn w:val="DefaultParagraphFont"/>
    <w:uiPriority w:val="22"/>
    <w:qFormat/>
    <w:rsid w:val="00214981"/>
    <w:rPr>
      <w:b/>
      <w:bCs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rsid w:val="003644fb"/>
    <w:pPr>
      <w:spacing w:before="0" w:after="140"/>
    </w:pPr>
    <w:rPr/>
  </w:style>
  <w:style w:type="paragraph" w:styleId="List">
    <w:name w:val="List"/>
    <w:basedOn w:val="BodyText"/>
    <w:rsid w:val="003644fb"/>
    <w:pPr/>
    <w:rPr>
      <w:rFonts w:cs="Noto Sans"/>
    </w:rPr>
  </w:style>
  <w:style w:type="paragraph" w:styleId="Caption" w:customStyle="1">
    <w:name w:val="Caption"/>
    <w:basedOn w:val="Normal"/>
    <w:qFormat/>
    <w:rsid w:val="003644fb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 w:customStyle="1">
    <w:name w:val="Index"/>
    <w:basedOn w:val="Normal"/>
    <w:qFormat/>
    <w:rsid w:val="003644fb"/>
    <w:pPr>
      <w:suppressLineNumbers/>
    </w:pPr>
    <w:rPr>
      <w:rFonts w:cs="Noto Sans"/>
    </w:rPr>
  </w:style>
  <w:style w:type="paragraph" w:styleId="Title">
    <w:name w:val="Title"/>
    <w:basedOn w:val="Normal"/>
    <w:next w:val="BodyText"/>
    <w:qFormat/>
    <w:rsid w:val="003644fb"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NoSpacing">
    <w:name w:val="No Spacing"/>
    <w:uiPriority w:val="1"/>
    <w:qFormat/>
    <w:rsid w:val="002f1be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4e2e8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 w:customStyle="1">
    <w:name w:val="Footnote Text"/>
    <w:basedOn w:val="Normal"/>
    <w:link w:val="NotedebasdepageCar"/>
    <w:rsid w:val="004e2e89"/>
    <w:pPr>
      <w:spacing w:lineRule="auto" w:line="240" w:before="0" w:after="0"/>
    </w:pPr>
    <w:rPr>
      <w:sz w:val="20"/>
      <w:szCs w:val="20"/>
    </w:rPr>
  </w:style>
  <w:style w:type="paragraph" w:styleId="EndnoteText" w:customStyle="1">
    <w:name w:val="Endnote Text"/>
    <w:basedOn w:val="Normal"/>
    <w:link w:val="NotedefinCar"/>
    <w:uiPriority w:val="99"/>
    <w:semiHidden/>
    <w:unhideWhenUsed/>
    <w:rsid w:val="0061574c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f5d1c"/>
    <w:pPr>
      <w:spacing w:before="0" w:after="200"/>
      <w:ind w:left="720"/>
      <w:contextualSpacing/>
    </w:pPr>
    <w:rPr/>
  </w:style>
  <w:style w:type="paragraph" w:styleId="Standard" w:customStyle="1">
    <w:name w:val="Standard"/>
    <w:qFormat/>
    <w:rsid w:val="00db1091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fr-FR"/>
    </w:rPr>
  </w:style>
  <w:style w:type="paragraph" w:styleId="Contenudetableau" w:customStyle="1">
    <w:name w:val="Contenu de tableau"/>
    <w:basedOn w:val="Standard"/>
    <w:qFormat/>
    <w:rsid w:val="00db1091"/>
    <w:pPr>
      <w:widowControl w:val="false"/>
      <w:suppressLineNumbers/>
    </w:pPr>
    <w:rPr/>
  </w:style>
  <w:style w:type="numbering" w:styleId="Pasdeliste" w:customStyle="1">
    <w:name w:val="Pas de liste"/>
    <w:uiPriority w:val="99"/>
    <w:semiHidden/>
    <w:unhideWhenUsed/>
    <w:qFormat/>
    <w:rsid w:val="003644fb"/>
  </w:style>
  <w:style w:type="table" w:default="1" w:styleId="Tableau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72B07-B87F-4515-A53A-DAD2AD61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Collabora_Office/24.04.14.3$Linux_X86_64 LibreOffice_project/54d8f210e7016c92953f55a6d1624e360fe0f876</Application>
  <AppVersion>15.0000</AppVersion>
  <Pages>2</Pages>
  <Words>428</Words>
  <Characters>1996</Characters>
  <CharactersWithSpaces>2403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2025-06-21T17:17:00Z</dcterms:created>
  <dc:creator>VITRY RACHEL</dc:creator>
  <dc:description/>
  <dc:language>fr-FR</dc:language>
  <cp:lastModifiedBy/>
  <dcterms:modified xsi:type="dcterms:W3CDTF">2025-06-27T10:18:49Z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